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53AA7" w14:textId="77777777" w:rsidR="00E132C1" w:rsidRDefault="00253668">
      <w:pPr>
        <w:spacing w:after="0" w:line="240" w:lineRule="auto"/>
        <w:ind w:left="5184"/>
        <w:rPr>
          <w:rFonts w:ascii="Arial" w:hAnsi="Arial" w:cs="Arial"/>
          <w:sz w:val="24"/>
          <w:szCs w:val="24"/>
        </w:rPr>
      </w:pPr>
      <w:r>
        <w:rPr>
          <w:rFonts w:ascii="Arial" w:hAnsi="Arial" w:cs="Arial"/>
          <w:sz w:val="24"/>
          <w:szCs w:val="24"/>
        </w:rPr>
        <w:t xml:space="preserve">PATVIRTINTA </w:t>
      </w:r>
    </w:p>
    <w:p w14:paraId="6A27DCED" w14:textId="77777777" w:rsidR="00E132C1" w:rsidRDefault="00253668">
      <w:pPr>
        <w:spacing w:after="0" w:line="240" w:lineRule="auto"/>
        <w:ind w:left="5184"/>
        <w:rPr>
          <w:rFonts w:ascii="Arial" w:hAnsi="Arial" w:cs="Arial"/>
          <w:sz w:val="24"/>
          <w:szCs w:val="24"/>
        </w:rPr>
      </w:pPr>
      <w:r>
        <w:rPr>
          <w:rFonts w:ascii="Arial" w:hAnsi="Arial" w:cs="Arial"/>
          <w:sz w:val="24"/>
          <w:szCs w:val="24"/>
        </w:rPr>
        <w:t>Klaipėdos rajono savivaldybės mero</w:t>
      </w:r>
    </w:p>
    <w:p w14:paraId="16535C26" w14:textId="77777777" w:rsidR="00E132C1" w:rsidRDefault="00253668">
      <w:pPr>
        <w:spacing w:after="0" w:line="240" w:lineRule="auto"/>
        <w:ind w:left="5184"/>
        <w:rPr>
          <w:rFonts w:ascii="Arial" w:hAnsi="Arial" w:cs="Arial"/>
          <w:sz w:val="24"/>
          <w:szCs w:val="24"/>
        </w:rPr>
      </w:pPr>
      <w:r>
        <w:rPr>
          <w:rFonts w:ascii="Arial" w:hAnsi="Arial" w:cs="Arial"/>
          <w:sz w:val="24"/>
          <w:szCs w:val="24"/>
        </w:rPr>
        <w:t xml:space="preserve">2026 m. kovo     potvarkiu Nr. </w:t>
      </w:r>
    </w:p>
    <w:p w14:paraId="1702CE70" w14:textId="77777777" w:rsidR="00E132C1" w:rsidRDefault="00E132C1">
      <w:pPr>
        <w:spacing w:after="0" w:line="240" w:lineRule="auto"/>
        <w:jc w:val="center"/>
        <w:rPr>
          <w:rFonts w:ascii="Arial" w:hAnsi="Arial" w:cs="Arial"/>
          <w:sz w:val="24"/>
          <w:szCs w:val="24"/>
        </w:rPr>
      </w:pPr>
    </w:p>
    <w:p w14:paraId="61B64DBE" w14:textId="77777777" w:rsidR="00E132C1" w:rsidRDefault="00253668">
      <w:pPr>
        <w:spacing w:after="0" w:line="240" w:lineRule="auto"/>
        <w:jc w:val="center"/>
        <w:rPr>
          <w:rFonts w:ascii="Arial" w:hAnsi="Arial" w:cs="Arial"/>
          <w:b/>
          <w:sz w:val="24"/>
          <w:szCs w:val="24"/>
        </w:rPr>
      </w:pPr>
      <w:r>
        <w:rPr>
          <w:rFonts w:ascii="Arial" w:hAnsi="Arial" w:cs="Arial"/>
          <w:b/>
          <w:sz w:val="24"/>
          <w:szCs w:val="24"/>
        </w:rPr>
        <w:t>KLAIPĖDOS R. SENDVARIO „SAULĖS“ MOKYKLOS</w:t>
      </w:r>
    </w:p>
    <w:p w14:paraId="29D14E90" w14:textId="77777777" w:rsidR="00E132C1" w:rsidRDefault="00253668">
      <w:pPr>
        <w:spacing w:after="0" w:line="240" w:lineRule="auto"/>
        <w:jc w:val="center"/>
        <w:rPr>
          <w:rFonts w:ascii="Arial" w:hAnsi="Arial" w:cs="Arial"/>
          <w:b/>
          <w:sz w:val="24"/>
          <w:szCs w:val="24"/>
        </w:rPr>
      </w:pPr>
      <w:r>
        <w:rPr>
          <w:rFonts w:ascii="Arial" w:hAnsi="Arial" w:cs="Arial"/>
          <w:b/>
          <w:sz w:val="24"/>
          <w:szCs w:val="24"/>
        </w:rPr>
        <w:t xml:space="preserve">2025 METŲ </w:t>
      </w:r>
      <w:r w:rsidRPr="003C5ED3">
        <w:rPr>
          <w:rFonts w:ascii="Arial" w:hAnsi="Arial" w:cs="Arial"/>
          <w:b/>
          <w:sz w:val="24"/>
          <w:szCs w:val="24"/>
        </w:rPr>
        <w:t>VEIKLOS AT</w:t>
      </w:r>
      <w:r w:rsidR="003C5ED3" w:rsidRPr="003C5ED3">
        <w:rPr>
          <w:rFonts w:ascii="Arial" w:hAnsi="Arial" w:cs="Arial"/>
          <w:b/>
          <w:sz w:val="24"/>
          <w:szCs w:val="24"/>
        </w:rPr>
        <w:t>A</w:t>
      </w:r>
      <w:r w:rsidRPr="003C5ED3">
        <w:rPr>
          <w:rFonts w:ascii="Arial" w:hAnsi="Arial" w:cs="Arial"/>
          <w:b/>
          <w:sz w:val="24"/>
          <w:szCs w:val="24"/>
        </w:rPr>
        <w:t>SKAITA</w:t>
      </w:r>
    </w:p>
    <w:p w14:paraId="5DBFAA4D" w14:textId="77777777" w:rsidR="00E132C1" w:rsidRDefault="00E132C1">
      <w:pPr>
        <w:spacing w:after="0" w:line="240" w:lineRule="auto"/>
        <w:jc w:val="center"/>
        <w:rPr>
          <w:rFonts w:ascii="Arial" w:hAnsi="Arial" w:cs="Arial"/>
          <w:b/>
          <w:sz w:val="24"/>
          <w:szCs w:val="24"/>
        </w:rPr>
      </w:pPr>
    </w:p>
    <w:p w14:paraId="1CF52A76" w14:textId="65225210" w:rsidR="00E132C1" w:rsidRDefault="00253668">
      <w:pPr>
        <w:spacing w:after="0" w:line="240" w:lineRule="auto"/>
        <w:ind w:firstLine="1134"/>
        <w:jc w:val="both"/>
        <w:rPr>
          <w:rFonts w:ascii="Arial" w:hAnsi="Arial" w:cs="Arial"/>
          <w:sz w:val="24"/>
          <w:szCs w:val="24"/>
        </w:rPr>
      </w:pPr>
      <w:r>
        <w:rPr>
          <w:rFonts w:ascii="Arial" w:hAnsi="Arial" w:cs="Arial"/>
          <w:sz w:val="24"/>
          <w:szCs w:val="24"/>
        </w:rPr>
        <w:t xml:space="preserve">Klaipėdos r. Sendvario „Saulės“ mokykla (toliau – Mokykla) – savivaldybės biudžetinė įstaiga, savo veiklą pradėjo 2025 m. rugsėjo 1 d. Pagrindinė Mokyklos veiklos rūšis – </w:t>
      </w:r>
      <w:r w:rsidR="003C5ED3">
        <w:rPr>
          <w:rFonts w:ascii="Arial" w:hAnsi="Arial" w:cs="Arial"/>
          <w:sz w:val="24"/>
          <w:szCs w:val="24"/>
        </w:rPr>
        <w:t>p</w:t>
      </w:r>
      <w:r w:rsidR="00824310">
        <w:rPr>
          <w:rFonts w:ascii="Arial" w:hAnsi="Arial" w:cs="Arial"/>
          <w:sz w:val="24"/>
          <w:szCs w:val="24"/>
        </w:rPr>
        <w:t>agrindinis</w:t>
      </w:r>
      <w:r w:rsidR="003C5ED3">
        <w:rPr>
          <w:rFonts w:ascii="Arial" w:hAnsi="Arial" w:cs="Arial"/>
          <w:sz w:val="24"/>
          <w:szCs w:val="24"/>
        </w:rPr>
        <w:t xml:space="preserve"> </w:t>
      </w:r>
      <w:r>
        <w:rPr>
          <w:rFonts w:ascii="Arial" w:hAnsi="Arial" w:cs="Arial"/>
          <w:sz w:val="24"/>
          <w:szCs w:val="24"/>
        </w:rPr>
        <w:t>ugdymas, kitos veiklos rūšys – ikimokyklinis ir pradinis ugdymas, sportinis ir rekreacinis bei kultūrinis švietimas, vaikų dienos priežiūros ir poilsio stovyklų veikla.</w:t>
      </w:r>
    </w:p>
    <w:p w14:paraId="046AA638" w14:textId="77777777" w:rsidR="00E132C1" w:rsidRDefault="00253668">
      <w:pPr>
        <w:shd w:val="clear" w:color="auto" w:fill="FFFFFF" w:themeFill="background1"/>
        <w:spacing w:after="0" w:line="240" w:lineRule="auto"/>
        <w:ind w:firstLine="1134"/>
        <w:jc w:val="both"/>
        <w:rPr>
          <w:rFonts w:ascii="Arial" w:hAnsi="Arial" w:cs="Arial"/>
          <w:sz w:val="24"/>
          <w:szCs w:val="24"/>
        </w:rPr>
      </w:pPr>
      <w:r>
        <w:rPr>
          <w:rFonts w:ascii="Arial" w:hAnsi="Arial" w:cs="Arial"/>
          <w:sz w:val="24"/>
          <w:szCs w:val="24"/>
        </w:rPr>
        <w:t xml:space="preserve">Mokykloje dirbo 118 darbuotojų, patvirtintas 119,21 pareigybių skaičius, iš jų – 71,21 pedagoginių ir 48 nepedagoginių pareigybių. Mokytojų ir pagalbos mokiniui specialistų kvalifikacija: 6 mokytojai metodininkai, 11 vyresniųjų mokytojų, 39 mokytojai, </w:t>
      </w:r>
      <w:r w:rsidRPr="003C5ED3">
        <w:rPr>
          <w:rFonts w:ascii="Arial" w:hAnsi="Arial" w:cs="Arial"/>
          <w:sz w:val="24"/>
          <w:szCs w:val="24"/>
        </w:rPr>
        <w:t>11</w:t>
      </w:r>
      <w:r>
        <w:rPr>
          <w:rFonts w:ascii="Arial" w:hAnsi="Arial" w:cs="Arial"/>
          <w:sz w:val="24"/>
          <w:szCs w:val="24"/>
        </w:rPr>
        <w:t xml:space="preserve"> – neturi kvalifikacinės kategorijos, studijuoja.</w:t>
      </w:r>
    </w:p>
    <w:p w14:paraId="0A777269" w14:textId="77777777" w:rsidR="00E132C1" w:rsidRDefault="00253668">
      <w:pPr>
        <w:shd w:val="clear" w:color="auto" w:fill="FFFFFF" w:themeFill="background1"/>
        <w:spacing w:after="0" w:line="240" w:lineRule="auto"/>
        <w:ind w:firstLine="1134"/>
        <w:jc w:val="both"/>
        <w:rPr>
          <w:rFonts w:ascii="Arial" w:hAnsi="Arial" w:cs="Arial"/>
          <w:sz w:val="24"/>
          <w:szCs w:val="24"/>
        </w:rPr>
      </w:pPr>
      <w:r>
        <w:rPr>
          <w:rFonts w:ascii="Arial" w:hAnsi="Arial" w:cs="Arial"/>
          <w:sz w:val="24"/>
          <w:szCs w:val="24"/>
        </w:rPr>
        <w:t xml:space="preserve">2025 metais Mokykloje suformuotos 9 ikimokyklinio ir 3 priešmokyklinio ugdymo grupės, 12 pradinio ugdymo ir 8 pagrindinio ugdymo klasių komplektai, kuriuose ugdėsi 719 mokinių: ikimokyklinio ugdymo grupėse – 161, priešmokyklinio ugdymo grupėse – 56, pradinio ugdymo klasėse – 282, pagrindinio ugdymo klasėse </w:t>
      </w:r>
      <w:r w:rsidR="00B614FC">
        <w:rPr>
          <w:rFonts w:ascii="Arial" w:hAnsi="Arial" w:cs="Arial"/>
          <w:sz w:val="24"/>
          <w:szCs w:val="24"/>
        </w:rPr>
        <w:t>–</w:t>
      </w:r>
      <w:r>
        <w:rPr>
          <w:rFonts w:ascii="Arial" w:hAnsi="Arial" w:cs="Arial"/>
          <w:sz w:val="24"/>
          <w:szCs w:val="24"/>
        </w:rPr>
        <w:t xml:space="preserve"> 220 mokinių. </w:t>
      </w:r>
    </w:p>
    <w:p w14:paraId="236CE53C"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Mokykliniu autobusu į Mokyklą ir atgal buvo pavėžėjami 96 mokiniai, specialiojo reiso autobusu – 179 mokiniai. Nemokamą maitinimą 2025 m. gavo 210 mokinių. Mokykla dalyvavo Europos sąjungos finansuojamoje „Vaisių ir daržovių bei pieno ir pieno produktų vartojimo skatinimo vaikų ugdymo įstaigose“ programoje. Mokykloje bendrą švietimo pagalbą gavo 111 mokinių, iš jų 42 specialiųjų ugdymosi poreikių turintys mokiniai. 2025 metais Mokykloje veikė 5 pailgintos dienos grupės, kurias lankė 120 pradinių klasių mokinių.</w:t>
      </w:r>
    </w:p>
    <w:p w14:paraId="23A30664"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Praėjusiais metais Mokykla veikė vadovaudamasi steigimo dokumentais, metiniais veiklos prioritetais ir direktoriaus 2025 metų veiklos užduotimis. Pagrindinis dėmesys buvo skiriamas sklandžiam naujos ugdymo įstaigos veiklos pradžios organizavimui, patrauklaus ir inovatyvaus Mokyklos įvaizdžio formavimui, efektyviam valdymui, saugios ir įtraukios ugdymo aplinkos kūrimui bei 2026–2028 metų strateginio plano parengimui.</w:t>
      </w:r>
    </w:p>
    <w:p w14:paraId="4038EAC4"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Siekiant formuoti patrauklios ir veiklios Mokyklos įvaizdį, pabrėžiant Mokyklos atvirumą, inovatyvumą ir pažangos siekį, buvo suburta kompetentinga komanda, atrinkti motyvuoti mokytojai, pasirengę diegti šiuolaikinius ugdymo metodus. 2025 m. rugsėjo 18 d. direktoriaus įsakymu Nr. V1-41 patvirtintas pareigybių sąrašas ir 119,21 pareigybių skaičius. Nuo 2025 m. rugsėjo 1 d. Mokykloje dirbo 118 darbuotojų, iš jų 9 administracijos, 73 pedagoginiai ir 36 aptarnaujančio personalo darbuotojai. 90 proc. mokytojų atitiko nustatytus kvalifikacinius reikalavimus, o inovatyvių ugdymo metodų taikymas atsispindėjo suderintuose mokytojų veiklos planuose.</w:t>
      </w:r>
    </w:p>
    <w:p w14:paraId="62934322"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Siekiant užtikrinti efektyvų Mokyklos valdymą, buvo parengti ir patvirtinti pagrindiniai Mokyklos veiklą reglamentuojantys dokumentai, darbuotojų pareigybių aprašymai. 2025 m. balandžio 29 d. direktoriaus įsakymu Nr. V1-2 patvirtinti administracijos darbuotojų pareigybių aprašymai, 2025 m. rugpjūčio 25 d. direktoriaus įsakymu Nr. V1-27 patvirtinti pedagoginių ir aptarnaujančio personalo pareigybių aprašymai. Sukurta šiuolaikiška ir informatyvi Mokyklos internetinė svetainė, nuolat atnaujinama viešoji informacija, paskirti atsakingi asmenys už internetinės svetainės turinį ir viešuosius ryšius.</w:t>
      </w:r>
    </w:p>
    <w:p w14:paraId="468358B3"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 xml:space="preserve">Siekiant kurti saugią, tobulėti skatinančią ugdymo(si) aplinką ir užtikrinti mokymosi pagalbą įvairių gebėjimų mokiniams, Mokykloje organizuoti mokymai pedagogams ir švietimo pagalbos specialistams. 2025 m. gruodžio 3 d. organizuotas seminaras priešmokyklinio ir pradinio ugdymo mokytojams bei švietimo pagalbos specialistams „Mokytojų STEAM kompetencijų ugdymas pasitelkiant LEGO konstruktorius“, kuriame dalyvavo 100 proc. mokytojų. 95 proc. mokytojų ir švietimo pagalbos specialistų </w:t>
      </w:r>
      <w:r>
        <w:rPr>
          <w:rFonts w:ascii="Arial" w:eastAsia="Times New Roman" w:hAnsi="Arial" w:cs="Arial"/>
          <w:sz w:val="24"/>
          <w:szCs w:val="24"/>
          <w:lang w:eastAsia="lt-LT"/>
        </w:rPr>
        <w:lastRenderedPageBreak/>
        <w:t>2025 m. gruodžio 11 d.–2026 m. vasario 12 d. dalyvavo akredituotoje programoje „Vaiko gerovės komisija. Nuo protokolų iki pokyčių“. 2025 m. rugsėjo 29 d. Vaiko gerovės komisijos posėdyje Nr. VK-1 priimti pagalbos mokiniui algoritmai. 2025 m. spalio 20 d.–lapkričio 6 d. organizuoti individualūs pokalbiai mokytojas–mokinys–tėvai, jų metu aptarta individuali mokinių pažanga ir sudaryti 28 pagalbos mokiniui teikimo planai. 2025 m. gruodžio 4 d. direktoriaus įsakymu Nr. V1-98 patvirtintas Individualios pažangos stebėjimo tvarkos aprašas.</w:t>
      </w:r>
    </w:p>
    <w:p w14:paraId="37EEB3B4"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Siekiant parengti kokybišką, duomenimis grįstą ir bendruomenės poreikius atliepiantį 2026–2028 metų strateginį planą, 2025 m. rugsėjo 30 d. direktoriaus įsakymu Nr. V1-65 sudaryta darbo grupė strateginiam planui parengti. 2025 m. rugsėjo 30 d.–lapkričio 19 d. dalyvauta Klaipėdos r. švietimo centro organizuotame seminare „Strateginis planavimas: praktinė mokymo programa 2026–2028 m. švietimo įstaigos strateginiam planui parengti“. 85 proc. Mokyklos bendruomenės aktyviai dalyvavo formuojant Mokyklos vizijos, misijos ir vertybių pasiūlymus, teikdama siūlymus ir įžvalgas Tėvų tarybos, Mokytojų tarybos ir Mokinių tarybos susirinkimuose. 2025 m. gruodžio 30 d. Mokyklos tarybos posėdyje Nr. V6-1 aptartas ir suderintas 2026–2028 metų Mokyklos strateginis planas.</w:t>
      </w:r>
    </w:p>
    <w:p w14:paraId="5B70D0B6"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2025 metais Mokykla aktyviai plėtojo bendradarbiavimą su socialiniais partneriais. Pasirašytos 4 bendradarbiavimo sutartys: su Klaipėdos „Medeinės“ mokykla, Klaipėdos universitetu, Gargždų atviru jaunimo centru ir VšĮ Klaipėdos socialinės ir psichologinės pagalbos centru. Šios partnerystės sudarė sąlygas stiprinti įtraukųjį ugdymą, dalyvauti projektuose, plėtoti jaunimo gerovės veiklas ir organizuoti edukacinius renginius.</w:t>
      </w:r>
    </w:p>
    <w:p w14:paraId="1203CB88"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Mokykloje inicijuotas informatikos ugdymo sistemos „Vedliai“ diegimas. Ši veikla prisidėjo prie mokinių ir mokytojų skaitmeninių, algoritminio mąstymo ir problemų sprendimo kompetencijų stiprinimo, integruojant informatiką į kasdienį ugdymo procesą nuo ankstyvojo amžiaus. Taip pat Mokykla sudarė sąlygas 12 aukštųjų ir profesinių mokyklų studentams atlikti pedagoginę praktiką. Be to, sudarytos sąlygos bendruomenės nariams ir neformaliojo vaikų švietimo programų tiekėjams nuomotis sporto sales. Pasirašyta 11 sporto salės nuomos sutarčių. Gautos lėšos už nuomos paslaugas panaudotos Mokyklos sporto infrastruktūros priežiūrai ir gerinimui, ugdymo bei neformaliojo švietimo priemonių įsigijimui ir mokinių fizinio aktyvumo skatinimui.</w:t>
      </w:r>
    </w:p>
    <w:p w14:paraId="36A3EC16" w14:textId="77777777" w:rsidR="00E132C1" w:rsidRDefault="00253668">
      <w:pPr>
        <w:spacing w:after="0" w:line="240" w:lineRule="auto"/>
        <w:ind w:firstLine="1134"/>
        <w:jc w:val="both"/>
        <w:rPr>
          <w:rFonts w:ascii="Arial" w:eastAsia="Times New Roman" w:hAnsi="Arial" w:cs="Arial"/>
          <w:sz w:val="24"/>
          <w:szCs w:val="24"/>
          <w:lang w:eastAsia="lt-LT"/>
        </w:rPr>
      </w:pPr>
      <w:r>
        <w:rPr>
          <w:rFonts w:ascii="Arial" w:eastAsia="Times New Roman" w:hAnsi="Arial" w:cs="Arial"/>
          <w:sz w:val="24"/>
          <w:szCs w:val="24"/>
          <w:lang w:eastAsia="lt-LT"/>
        </w:rPr>
        <w:t xml:space="preserve">2025 metais Mokykla ne tik sėkmingai pradėjo ugdymo procesą, bet ir tapo aktyvia, augančia bendruomene, kurioje kuriama saugi, atvira ir kiekvieno vaiko sėkmę palaikanti mokymosi aplinka.  </w:t>
      </w:r>
    </w:p>
    <w:p w14:paraId="49A4CD00" w14:textId="77777777" w:rsidR="00E132C1" w:rsidRDefault="00E132C1">
      <w:pPr>
        <w:tabs>
          <w:tab w:val="left" w:pos="1276"/>
        </w:tabs>
        <w:spacing w:after="0" w:line="240" w:lineRule="auto"/>
        <w:contextualSpacing/>
        <w:jc w:val="both"/>
        <w:rPr>
          <w:rFonts w:ascii="Arial" w:eastAsia="Times New Roman" w:hAnsi="Arial" w:cs="Arial"/>
          <w:sz w:val="24"/>
          <w:szCs w:val="24"/>
          <w:lang w:eastAsia="lt-LT"/>
        </w:rPr>
      </w:pPr>
    </w:p>
    <w:tbl>
      <w:tblPr>
        <w:tblW w:w="9634" w:type="dxa"/>
        <w:tblLayout w:type="fixed"/>
        <w:tblLook w:val="04A0" w:firstRow="1" w:lastRow="0" w:firstColumn="1" w:lastColumn="0" w:noHBand="0" w:noVBand="1"/>
      </w:tblPr>
      <w:tblGrid>
        <w:gridCol w:w="3539"/>
        <w:gridCol w:w="1850"/>
        <w:gridCol w:w="1524"/>
        <w:gridCol w:w="2721"/>
      </w:tblGrid>
      <w:tr w:rsidR="00E132C1" w14:paraId="01438004" w14:textId="77777777">
        <w:tc>
          <w:tcPr>
            <w:tcW w:w="3538" w:type="dxa"/>
            <w:vMerge w:val="restart"/>
            <w:tcBorders>
              <w:top w:val="single" w:sz="4" w:space="0" w:color="000000"/>
              <w:left w:val="single" w:sz="4" w:space="0" w:color="000000"/>
              <w:bottom w:val="single" w:sz="4" w:space="0" w:color="000000"/>
              <w:right w:val="single" w:sz="4" w:space="0" w:color="000000"/>
            </w:tcBorders>
          </w:tcPr>
          <w:p w14:paraId="52595E01" w14:textId="77777777" w:rsidR="00E132C1" w:rsidRDefault="00253668">
            <w:pPr>
              <w:widowControl w:val="0"/>
              <w:shd w:val="clear" w:color="auto" w:fill="FFFFFF" w:themeFill="background1"/>
              <w:spacing w:after="0" w:line="240" w:lineRule="auto"/>
              <w:jc w:val="center"/>
              <w:rPr>
                <w:rFonts w:ascii="Arial" w:eastAsia="Times New Roman" w:hAnsi="Arial" w:cs="Arial"/>
                <w:b/>
                <w:i/>
                <w:sz w:val="24"/>
                <w:szCs w:val="24"/>
                <w:lang w:eastAsia="lt-LT"/>
              </w:rPr>
            </w:pPr>
            <w:r>
              <w:rPr>
                <w:rFonts w:ascii="Arial" w:eastAsia="Times New Roman" w:hAnsi="Arial" w:cs="Arial"/>
                <w:b/>
                <w:i/>
                <w:sz w:val="24"/>
                <w:szCs w:val="24"/>
                <w:lang w:eastAsia="lt-LT"/>
              </w:rPr>
              <w:t>Finansavimo šaltinis</w:t>
            </w:r>
          </w:p>
        </w:tc>
        <w:tc>
          <w:tcPr>
            <w:tcW w:w="3374" w:type="dxa"/>
            <w:gridSpan w:val="2"/>
            <w:tcBorders>
              <w:top w:val="single" w:sz="4" w:space="0" w:color="000000"/>
              <w:left w:val="single" w:sz="4" w:space="0" w:color="000000"/>
              <w:bottom w:val="single" w:sz="4" w:space="0" w:color="000000"/>
              <w:right w:val="single" w:sz="4" w:space="0" w:color="000000"/>
            </w:tcBorders>
          </w:tcPr>
          <w:p w14:paraId="49782082" w14:textId="77777777" w:rsidR="00E132C1" w:rsidRDefault="00253668">
            <w:pPr>
              <w:widowControl w:val="0"/>
              <w:shd w:val="clear" w:color="auto" w:fill="FFFFFF" w:themeFill="background1"/>
              <w:spacing w:after="0" w:line="240" w:lineRule="auto"/>
              <w:jc w:val="center"/>
              <w:rPr>
                <w:rFonts w:ascii="Arial" w:eastAsia="Times New Roman" w:hAnsi="Arial" w:cs="Arial"/>
                <w:b/>
                <w:i/>
                <w:sz w:val="24"/>
                <w:szCs w:val="24"/>
                <w:lang w:eastAsia="lt-LT"/>
              </w:rPr>
            </w:pPr>
            <w:r>
              <w:rPr>
                <w:rFonts w:ascii="Arial" w:eastAsia="Times New Roman" w:hAnsi="Arial" w:cs="Arial"/>
                <w:b/>
                <w:i/>
                <w:sz w:val="24"/>
                <w:szCs w:val="24"/>
                <w:lang w:eastAsia="lt-LT"/>
              </w:rPr>
              <w:t>Lėšos tūkst. Eur</w:t>
            </w:r>
          </w:p>
        </w:tc>
        <w:tc>
          <w:tcPr>
            <w:tcW w:w="2721" w:type="dxa"/>
            <w:vMerge w:val="restart"/>
            <w:tcBorders>
              <w:top w:val="single" w:sz="4" w:space="0" w:color="000000"/>
              <w:left w:val="single" w:sz="4" w:space="0" w:color="000000"/>
              <w:bottom w:val="single" w:sz="4" w:space="0" w:color="000000"/>
              <w:right w:val="single" w:sz="4" w:space="0" w:color="000000"/>
            </w:tcBorders>
          </w:tcPr>
          <w:p w14:paraId="2083F465" w14:textId="77777777" w:rsidR="00E132C1" w:rsidRDefault="00253668">
            <w:pPr>
              <w:widowControl w:val="0"/>
              <w:shd w:val="clear" w:color="auto" w:fill="FFFFFF" w:themeFill="background1"/>
              <w:spacing w:after="0" w:line="240" w:lineRule="auto"/>
              <w:jc w:val="center"/>
              <w:rPr>
                <w:rFonts w:ascii="Arial" w:eastAsia="Times New Roman" w:hAnsi="Arial" w:cs="Arial"/>
                <w:b/>
                <w:i/>
                <w:sz w:val="24"/>
                <w:szCs w:val="24"/>
                <w:lang w:eastAsia="lt-LT"/>
              </w:rPr>
            </w:pPr>
            <w:r>
              <w:rPr>
                <w:rFonts w:ascii="Arial" w:eastAsia="Times New Roman" w:hAnsi="Arial" w:cs="Arial"/>
                <w:b/>
                <w:i/>
                <w:sz w:val="24"/>
                <w:szCs w:val="24"/>
                <w:lang w:eastAsia="lt-LT"/>
              </w:rPr>
              <w:t>Pastabos</w:t>
            </w:r>
          </w:p>
        </w:tc>
      </w:tr>
      <w:tr w:rsidR="00E132C1" w14:paraId="392513CC" w14:textId="77777777">
        <w:trPr>
          <w:trHeight w:val="562"/>
        </w:trPr>
        <w:tc>
          <w:tcPr>
            <w:tcW w:w="3538" w:type="dxa"/>
            <w:vMerge/>
            <w:tcBorders>
              <w:top w:val="single" w:sz="4" w:space="0" w:color="000000"/>
              <w:left w:val="single" w:sz="4" w:space="0" w:color="000000"/>
              <w:bottom w:val="single" w:sz="4" w:space="0" w:color="000000"/>
              <w:right w:val="single" w:sz="4" w:space="0" w:color="000000"/>
            </w:tcBorders>
          </w:tcPr>
          <w:p w14:paraId="1592CB35" w14:textId="77777777" w:rsidR="00E132C1" w:rsidRDefault="00E132C1">
            <w:pPr>
              <w:widowControl w:val="0"/>
              <w:shd w:val="clear" w:color="auto" w:fill="FFFFFF" w:themeFill="background1"/>
              <w:spacing w:after="0" w:line="240" w:lineRule="auto"/>
              <w:jc w:val="center"/>
              <w:rPr>
                <w:rFonts w:ascii="Arial" w:eastAsia="Times New Roman" w:hAnsi="Arial" w:cs="Arial"/>
                <w:sz w:val="24"/>
                <w:szCs w:val="24"/>
                <w:lang w:eastAsia="lt-LT"/>
              </w:rPr>
            </w:pPr>
          </w:p>
        </w:tc>
        <w:tc>
          <w:tcPr>
            <w:tcW w:w="1850" w:type="dxa"/>
            <w:tcBorders>
              <w:top w:val="single" w:sz="4" w:space="0" w:color="000000"/>
              <w:left w:val="single" w:sz="4" w:space="0" w:color="000000"/>
              <w:right w:val="single" w:sz="4" w:space="0" w:color="000000"/>
            </w:tcBorders>
          </w:tcPr>
          <w:p w14:paraId="3B8A7B1C" w14:textId="77777777" w:rsidR="00E132C1" w:rsidRDefault="00253668">
            <w:pPr>
              <w:widowControl w:val="0"/>
              <w:shd w:val="clear" w:color="auto" w:fill="FFFFFF" w:themeFill="background1"/>
              <w:spacing w:after="0" w:line="240" w:lineRule="auto"/>
              <w:jc w:val="center"/>
              <w:rPr>
                <w:rFonts w:ascii="Arial" w:eastAsia="Times New Roman" w:hAnsi="Arial" w:cs="Arial"/>
                <w:b/>
                <w:i/>
                <w:sz w:val="24"/>
                <w:szCs w:val="24"/>
                <w:lang w:eastAsia="lt-LT"/>
              </w:rPr>
            </w:pPr>
            <w:r>
              <w:rPr>
                <w:rFonts w:ascii="Arial" w:eastAsia="Times New Roman" w:hAnsi="Arial" w:cs="Arial"/>
                <w:b/>
                <w:i/>
                <w:sz w:val="24"/>
                <w:szCs w:val="24"/>
                <w:lang w:eastAsia="lt-LT"/>
              </w:rPr>
              <w:t>Planas (patikslintas)</w:t>
            </w:r>
          </w:p>
        </w:tc>
        <w:tc>
          <w:tcPr>
            <w:tcW w:w="1524" w:type="dxa"/>
            <w:tcBorders>
              <w:top w:val="single" w:sz="4" w:space="0" w:color="000000"/>
              <w:left w:val="single" w:sz="4" w:space="0" w:color="000000"/>
              <w:right w:val="single" w:sz="4" w:space="0" w:color="000000"/>
            </w:tcBorders>
          </w:tcPr>
          <w:p w14:paraId="4AA1B1C2" w14:textId="77777777" w:rsidR="00E132C1" w:rsidRDefault="00253668">
            <w:pPr>
              <w:widowControl w:val="0"/>
              <w:shd w:val="clear" w:color="auto" w:fill="FFFFFF" w:themeFill="background1"/>
              <w:spacing w:after="0" w:line="240" w:lineRule="auto"/>
              <w:jc w:val="center"/>
              <w:rPr>
                <w:rFonts w:ascii="Arial" w:eastAsia="Times New Roman" w:hAnsi="Arial" w:cs="Arial"/>
                <w:b/>
                <w:i/>
                <w:sz w:val="24"/>
                <w:szCs w:val="24"/>
                <w:lang w:eastAsia="lt-LT"/>
              </w:rPr>
            </w:pPr>
            <w:r>
              <w:rPr>
                <w:rFonts w:ascii="Arial" w:eastAsia="Times New Roman" w:hAnsi="Arial" w:cs="Arial"/>
                <w:b/>
                <w:i/>
                <w:sz w:val="24"/>
                <w:szCs w:val="24"/>
                <w:lang w:eastAsia="lt-LT"/>
              </w:rPr>
              <w:t>Panaudota</w:t>
            </w:r>
          </w:p>
        </w:tc>
        <w:tc>
          <w:tcPr>
            <w:tcW w:w="2721" w:type="dxa"/>
            <w:vMerge/>
            <w:tcBorders>
              <w:top w:val="single" w:sz="4" w:space="0" w:color="000000"/>
              <w:left w:val="single" w:sz="4" w:space="0" w:color="000000"/>
              <w:bottom w:val="single" w:sz="4" w:space="0" w:color="000000"/>
              <w:right w:val="single" w:sz="4" w:space="0" w:color="000000"/>
            </w:tcBorders>
          </w:tcPr>
          <w:p w14:paraId="382D33B2" w14:textId="77777777" w:rsidR="00E132C1" w:rsidRDefault="00E132C1">
            <w:pPr>
              <w:widowControl w:val="0"/>
              <w:shd w:val="clear" w:color="auto" w:fill="FFFFFF" w:themeFill="background1"/>
              <w:spacing w:after="0" w:line="240" w:lineRule="auto"/>
              <w:jc w:val="center"/>
              <w:rPr>
                <w:rFonts w:ascii="Arial" w:eastAsia="Times New Roman" w:hAnsi="Arial" w:cs="Arial"/>
                <w:sz w:val="24"/>
                <w:szCs w:val="24"/>
                <w:lang w:eastAsia="lt-LT"/>
              </w:rPr>
            </w:pPr>
          </w:p>
        </w:tc>
      </w:tr>
      <w:tr w:rsidR="00E132C1" w14:paraId="2AD02593" w14:textId="77777777">
        <w:tc>
          <w:tcPr>
            <w:tcW w:w="3538" w:type="dxa"/>
            <w:tcBorders>
              <w:top w:val="single" w:sz="4" w:space="0" w:color="000000"/>
              <w:left w:val="single" w:sz="4" w:space="0" w:color="000000"/>
              <w:bottom w:val="single" w:sz="4" w:space="0" w:color="000000"/>
              <w:right w:val="single" w:sz="4" w:space="0" w:color="000000"/>
            </w:tcBorders>
          </w:tcPr>
          <w:p w14:paraId="5E7554AC"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Savivaldybės biudžeto (SB)</w:t>
            </w:r>
          </w:p>
        </w:tc>
        <w:tc>
          <w:tcPr>
            <w:tcW w:w="1850" w:type="dxa"/>
            <w:tcBorders>
              <w:top w:val="single" w:sz="4" w:space="0" w:color="000000"/>
              <w:left w:val="single" w:sz="4" w:space="0" w:color="000000"/>
              <w:bottom w:val="single" w:sz="4" w:space="0" w:color="000000"/>
              <w:right w:val="single" w:sz="4" w:space="0" w:color="000000"/>
            </w:tcBorders>
            <w:vAlign w:val="center"/>
          </w:tcPr>
          <w:p w14:paraId="563E22F9"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sz w:val="24"/>
                <w:szCs w:val="24"/>
                <w:lang w:eastAsia="lt-LT"/>
              </w:rPr>
              <w:t>707300,00</w:t>
            </w:r>
          </w:p>
        </w:tc>
        <w:tc>
          <w:tcPr>
            <w:tcW w:w="1524" w:type="dxa"/>
            <w:tcBorders>
              <w:top w:val="single" w:sz="4" w:space="0" w:color="000000"/>
              <w:left w:val="single" w:sz="4" w:space="0" w:color="000000"/>
              <w:bottom w:val="single" w:sz="4" w:space="0" w:color="000000"/>
              <w:right w:val="single" w:sz="4" w:space="0" w:color="000000"/>
            </w:tcBorders>
            <w:vAlign w:val="center"/>
          </w:tcPr>
          <w:p w14:paraId="28D09827"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sz w:val="24"/>
                <w:szCs w:val="24"/>
                <w:lang w:eastAsia="lt-LT"/>
              </w:rPr>
              <w:t>707129,99</w:t>
            </w:r>
          </w:p>
        </w:tc>
        <w:tc>
          <w:tcPr>
            <w:tcW w:w="2721" w:type="dxa"/>
            <w:tcBorders>
              <w:top w:val="single" w:sz="4" w:space="0" w:color="000000"/>
              <w:left w:val="single" w:sz="4" w:space="0" w:color="000000"/>
              <w:bottom w:val="single" w:sz="4" w:space="0" w:color="000000"/>
              <w:right w:val="single" w:sz="4" w:space="0" w:color="000000"/>
            </w:tcBorders>
          </w:tcPr>
          <w:p w14:paraId="6569E702"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Įvykdyta – 99,97 proc.</w:t>
            </w:r>
          </w:p>
        </w:tc>
      </w:tr>
      <w:tr w:rsidR="00E132C1" w14:paraId="11187C6A" w14:textId="77777777">
        <w:tc>
          <w:tcPr>
            <w:tcW w:w="3538" w:type="dxa"/>
            <w:tcBorders>
              <w:top w:val="single" w:sz="4" w:space="0" w:color="000000"/>
              <w:left w:val="single" w:sz="4" w:space="0" w:color="000000"/>
              <w:bottom w:val="single" w:sz="4" w:space="0" w:color="000000"/>
              <w:right w:val="single" w:sz="4" w:space="0" w:color="000000"/>
            </w:tcBorders>
          </w:tcPr>
          <w:p w14:paraId="0E3E36D2"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hAnsi="Arial" w:cs="Arial"/>
                <w:bCs/>
                <w:sz w:val="24"/>
                <w:szCs w:val="24"/>
                <w:lang w:eastAsia="lt-LT"/>
              </w:rPr>
              <w:t xml:space="preserve">Speciali tikslinė dotacija mokymo reikmėms finansuoti </w:t>
            </w:r>
            <w:r>
              <w:rPr>
                <w:rFonts w:ascii="Arial" w:hAnsi="Arial" w:cs="Arial"/>
                <w:sz w:val="24"/>
                <w:szCs w:val="24"/>
              </w:rPr>
              <w:t>(ML, ML(SL), ML(UK))</w:t>
            </w:r>
          </w:p>
        </w:tc>
        <w:tc>
          <w:tcPr>
            <w:tcW w:w="1850" w:type="dxa"/>
            <w:tcBorders>
              <w:top w:val="single" w:sz="4" w:space="0" w:color="000000"/>
              <w:left w:val="single" w:sz="4" w:space="0" w:color="000000"/>
              <w:bottom w:val="single" w:sz="4" w:space="0" w:color="000000"/>
              <w:right w:val="single" w:sz="4" w:space="0" w:color="000000"/>
            </w:tcBorders>
          </w:tcPr>
          <w:p w14:paraId="03C9D588"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sz w:val="24"/>
                <w:szCs w:val="24"/>
                <w:lang w:eastAsia="lt-LT"/>
              </w:rPr>
              <w:t>693373,00</w:t>
            </w:r>
          </w:p>
        </w:tc>
        <w:tc>
          <w:tcPr>
            <w:tcW w:w="1524" w:type="dxa"/>
            <w:tcBorders>
              <w:top w:val="single" w:sz="4" w:space="0" w:color="000000"/>
              <w:left w:val="single" w:sz="4" w:space="0" w:color="000000"/>
              <w:bottom w:val="single" w:sz="4" w:space="0" w:color="000000"/>
              <w:right w:val="single" w:sz="4" w:space="0" w:color="000000"/>
            </w:tcBorders>
          </w:tcPr>
          <w:p w14:paraId="71118191"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sz w:val="24"/>
                <w:szCs w:val="24"/>
                <w:lang w:eastAsia="lt-LT"/>
              </w:rPr>
              <w:t>693373,00</w:t>
            </w:r>
          </w:p>
        </w:tc>
        <w:tc>
          <w:tcPr>
            <w:tcW w:w="2721" w:type="dxa"/>
            <w:tcBorders>
              <w:top w:val="single" w:sz="4" w:space="0" w:color="000000"/>
              <w:left w:val="single" w:sz="4" w:space="0" w:color="000000"/>
              <w:bottom w:val="single" w:sz="4" w:space="0" w:color="000000"/>
              <w:right w:val="single" w:sz="4" w:space="0" w:color="000000"/>
            </w:tcBorders>
          </w:tcPr>
          <w:p w14:paraId="47A49C99" w14:textId="77777777" w:rsidR="00E132C1" w:rsidRDefault="00253668">
            <w:pPr>
              <w:widowControl w:val="0"/>
              <w:shd w:val="clear" w:color="auto" w:fill="FFFFFF" w:themeFill="background1"/>
              <w:spacing w:after="0" w:line="240" w:lineRule="auto"/>
              <w:jc w:val="both"/>
              <w:rPr>
                <w:rFonts w:ascii="Arial" w:eastAsia="Times New Roman" w:hAnsi="Arial" w:cs="Arial"/>
                <w:sz w:val="24"/>
                <w:szCs w:val="24"/>
                <w:lang w:eastAsia="lt-LT"/>
              </w:rPr>
            </w:pPr>
            <w:r>
              <w:rPr>
                <w:rFonts w:ascii="Arial" w:eastAsia="Times New Roman" w:hAnsi="Arial" w:cs="Arial"/>
                <w:sz w:val="24"/>
                <w:szCs w:val="24"/>
                <w:lang w:eastAsia="lt-LT"/>
              </w:rPr>
              <w:t>Įvykdyta – 100 proc.</w:t>
            </w:r>
          </w:p>
        </w:tc>
      </w:tr>
      <w:tr w:rsidR="00E132C1" w14:paraId="635FE6A7" w14:textId="77777777">
        <w:tc>
          <w:tcPr>
            <w:tcW w:w="3538" w:type="dxa"/>
            <w:tcBorders>
              <w:top w:val="single" w:sz="4" w:space="0" w:color="000000"/>
              <w:left w:val="single" w:sz="4" w:space="0" w:color="000000"/>
              <w:bottom w:val="single" w:sz="4" w:space="0" w:color="000000"/>
              <w:right w:val="single" w:sz="4" w:space="0" w:color="000000"/>
            </w:tcBorders>
          </w:tcPr>
          <w:p w14:paraId="7369B862"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Pajamos už paslaugas ir nuomą (S)</w:t>
            </w:r>
          </w:p>
        </w:tc>
        <w:tc>
          <w:tcPr>
            <w:tcW w:w="1850" w:type="dxa"/>
            <w:tcBorders>
              <w:top w:val="single" w:sz="4" w:space="0" w:color="000000"/>
              <w:left w:val="single" w:sz="4" w:space="0" w:color="000000"/>
              <w:bottom w:val="single" w:sz="4" w:space="0" w:color="000000"/>
              <w:right w:val="single" w:sz="4" w:space="0" w:color="000000"/>
            </w:tcBorders>
          </w:tcPr>
          <w:p w14:paraId="39D38B8D"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sz w:val="24"/>
                <w:szCs w:val="24"/>
                <w:lang w:eastAsia="lt-LT"/>
              </w:rPr>
              <w:t>97700,00</w:t>
            </w:r>
          </w:p>
        </w:tc>
        <w:tc>
          <w:tcPr>
            <w:tcW w:w="1524" w:type="dxa"/>
            <w:tcBorders>
              <w:top w:val="single" w:sz="4" w:space="0" w:color="000000"/>
              <w:left w:val="single" w:sz="4" w:space="0" w:color="000000"/>
              <w:bottom w:val="single" w:sz="4" w:space="0" w:color="000000"/>
              <w:right w:val="single" w:sz="4" w:space="0" w:color="000000"/>
            </w:tcBorders>
          </w:tcPr>
          <w:p w14:paraId="039D751F"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sz w:val="24"/>
                <w:szCs w:val="24"/>
                <w:lang w:eastAsia="lt-LT"/>
              </w:rPr>
              <w:t>85979,03</w:t>
            </w:r>
          </w:p>
        </w:tc>
        <w:tc>
          <w:tcPr>
            <w:tcW w:w="2721" w:type="dxa"/>
            <w:tcBorders>
              <w:top w:val="single" w:sz="4" w:space="0" w:color="000000"/>
              <w:left w:val="single" w:sz="4" w:space="0" w:color="000000"/>
              <w:bottom w:val="single" w:sz="4" w:space="0" w:color="000000"/>
              <w:right w:val="single" w:sz="4" w:space="0" w:color="000000"/>
            </w:tcBorders>
          </w:tcPr>
          <w:p w14:paraId="4AA2D205"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Įvykdyta – 88 proc.</w:t>
            </w:r>
          </w:p>
        </w:tc>
      </w:tr>
      <w:tr w:rsidR="00E132C1" w14:paraId="6AC1F5AF" w14:textId="77777777">
        <w:tc>
          <w:tcPr>
            <w:tcW w:w="3538" w:type="dxa"/>
            <w:tcBorders>
              <w:top w:val="single" w:sz="4" w:space="0" w:color="000000"/>
              <w:left w:val="single" w:sz="4" w:space="0" w:color="000000"/>
              <w:bottom w:val="single" w:sz="4" w:space="0" w:color="000000"/>
              <w:right w:val="single" w:sz="4" w:space="0" w:color="000000"/>
            </w:tcBorders>
          </w:tcPr>
          <w:p w14:paraId="71207087" w14:textId="77777777" w:rsidR="00E132C1" w:rsidRDefault="00253668">
            <w:pPr>
              <w:widowControl w:val="0"/>
              <w:shd w:val="clear" w:color="auto" w:fill="FFFFFF" w:themeFill="background1"/>
              <w:spacing w:after="0" w:line="240" w:lineRule="auto"/>
              <w:rPr>
                <w:rFonts w:ascii="Arial" w:eastAsia="Times New Roman" w:hAnsi="Arial" w:cs="Arial"/>
                <w:b/>
                <w:i/>
                <w:sz w:val="24"/>
                <w:szCs w:val="24"/>
                <w:lang w:eastAsia="lt-LT"/>
              </w:rPr>
            </w:pPr>
            <w:r>
              <w:rPr>
                <w:rFonts w:ascii="Arial" w:eastAsia="Times New Roman" w:hAnsi="Arial" w:cs="Arial"/>
                <w:b/>
                <w:i/>
                <w:sz w:val="24"/>
                <w:szCs w:val="24"/>
                <w:lang w:eastAsia="lt-LT"/>
              </w:rPr>
              <w:t>Iš viso:</w:t>
            </w:r>
          </w:p>
        </w:tc>
        <w:tc>
          <w:tcPr>
            <w:tcW w:w="1850" w:type="dxa"/>
            <w:tcBorders>
              <w:top w:val="single" w:sz="4" w:space="0" w:color="000000"/>
              <w:left w:val="single" w:sz="4" w:space="0" w:color="000000"/>
              <w:bottom w:val="single" w:sz="4" w:space="0" w:color="000000"/>
              <w:right w:val="single" w:sz="4" w:space="0" w:color="000000"/>
            </w:tcBorders>
            <w:vAlign w:val="center"/>
          </w:tcPr>
          <w:p w14:paraId="0489DF69" w14:textId="77777777" w:rsidR="00E132C1" w:rsidRDefault="00253668">
            <w:pPr>
              <w:widowControl w:val="0"/>
              <w:shd w:val="clear" w:color="auto" w:fill="FFFFFF" w:themeFill="background1"/>
              <w:spacing w:after="0" w:line="240" w:lineRule="auto"/>
              <w:jc w:val="center"/>
              <w:rPr>
                <w:rFonts w:ascii="Arial" w:eastAsia="Times New Roman" w:hAnsi="Arial" w:cs="Arial"/>
                <w:b/>
                <w:i/>
                <w:sz w:val="24"/>
                <w:szCs w:val="24"/>
                <w:lang w:eastAsia="lt-LT"/>
              </w:rPr>
            </w:pPr>
            <w:r>
              <w:rPr>
                <w:rFonts w:ascii="Arial" w:hAnsi="Arial" w:cs="Arial"/>
                <w:b/>
                <w:bCs/>
                <w:i/>
                <w:iCs/>
                <w:sz w:val="24"/>
                <w:szCs w:val="24"/>
                <w:lang w:eastAsia="lt-LT"/>
              </w:rPr>
              <w:t>1498373,00</w:t>
            </w:r>
          </w:p>
        </w:tc>
        <w:tc>
          <w:tcPr>
            <w:tcW w:w="1524" w:type="dxa"/>
            <w:tcBorders>
              <w:top w:val="single" w:sz="4" w:space="0" w:color="000000"/>
              <w:left w:val="single" w:sz="4" w:space="0" w:color="000000"/>
              <w:bottom w:val="single" w:sz="4" w:space="0" w:color="000000"/>
              <w:right w:val="single" w:sz="4" w:space="0" w:color="000000"/>
            </w:tcBorders>
            <w:vAlign w:val="center"/>
          </w:tcPr>
          <w:p w14:paraId="384C7611" w14:textId="77777777" w:rsidR="00E132C1" w:rsidRDefault="00253668">
            <w:pPr>
              <w:widowControl w:val="0"/>
              <w:shd w:val="clear" w:color="auto" w:fill="FFFFFF" w:themeFill="background1"/>
              <w:spacing w:after="0" w:line="240" w:lineRule="auto"/>
              <w:jc w:val="center"/>
              <w:rPr>
                <w:rFonts w:ascii="Arial" w:eastAsia="Times New Roman" w:hAnsi="Arial" w:cs="Arial"/>
                <w:b/>
                <w:i/>
                <w:sz w:val="24"/>
                <w:szCs w:val="24"/>
                <w:lang w:eastAsia="lt-LT"/>
              </w:rPr>
            </w:pPr>
            <w:r>
              <w:rPr>
                <w:rFonts w:ascii="Arial" w:hAnsi="Arial" w:cs="Arial"/>
                <w:b/>
                <w:bCs/>
                <w:i/>
                <w:iCs/>
                <w:sz w:val="24"/>
                <w:szCs w:val="24"/>
                <w:lang w:eastAsia="lt-LT"/>
              </w:rPr>
              <w:t>1486482,02</w:t>
            </w:r>
          </w:p>
        </w:tc>
        <w:tc>
          <w:tcPr>
            <w:tcW w:w="2721" w:type="dxa"/>
            <w:tcBorders>
              <w:top w:val="single" w:sz="4" w:space="0" w:color="000000"/>
              <w:left w:val="single" w:sz="4" w:space="0" w:color="000000"/>
              <w:bottom w:val="single" w:sz="4" w:space="0" w:color="000000"/>
              <w:right w:val="single" w:sz="4" w:space="0" w:color="000000"/>
            </w:tcBorders>
          </w:tcPr>
          <w:p w14:paraId="685A497C" w14:textId="77777777" w:rsidR="00E132C1" w:rsidRDefault="00253668">
            <w:pPr>
              <w:widowControl w:val="0"/>
              <w:shd w:val="clear" w:color="auto" w:fill="FFFFFF" w:themeFill="background1"/>
              <w:spacing w:after="0" w:line="240" w:lineRule="auto"/>
              <w:rPr>
                <w:rFonts w:ascii="Arial" w:eastAsia="Times New Roman" w:hAnsi="Arial" w:cs="Arial"/>
                <w:b/>
                <w:i/>
                <w:sz w:val="24"/>
                <w:szCs w:val="24"/>
                <w:lang w:eastAsia="lt-LT"/>
              </w:rPr>
            </w:pPr>
            <w:r>
              <w:rPr>
                <w:rFonts w:ascii="Arial" w:eastAsia="Times New Roman" w:hAnsi="Arial" w:cs="Arial"/>
                <w:b/>
                <w:i/>
                <w:sz w:val="24"/>
                <w:szCs w:val="24"/>
                <w:lang w:eastAsia="lt-LT"/>
              </w:rPr>
              <w:t>Įvykdyta – 99,2 proc.</w:t>
            </w:r>
          </w:p>
        </w:tc>
      </w:tr>
      <w:tr w:rsidR="00E132C1" w14:paraId="51CD4D1F" w14:textId="77777777">
        <w:tc>
          <w:tcPr>
            <w:tcW w:w="3538" w:type="dxa"/>
            <w:tcBorders>
              <w:top w:val="single" w:sz="4" w:space="0" w:color="000000"/>
              <w:left w:val="single" w:sz="4" w:space="0" w:color="000000"/>
              <w:bottom w:val="single" w:sz="4" w:space="0" w:color="000000"/>
              <w:right w:val="single" w:sz="4" w:space="0" w:color="000000"/>
            </w:tcBorders>
          </w:tcPr>
          <w:p w14:paraId="2DFB1A09"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Tikslinės lėšos</w:t>
            </w:r>
          </w:p>
          <w:p w14:paraId="15228E7C"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w:t>
            </w:r>
            <w:r>
              <w:rPr>
                <w:rFonts w:ascii="Arial" w:eastAsia="Times New Roman" w:hAnsi="Arial" w:cs="Arial"/>
                <w:sz w:val="24"/>
                <w:szCs w:val="24"/>
                <w:shd w:val="clear" w:color="auto" w:fill="FFFFFF"/>
                <w:lang w:eastAsia="lt-LT"/>
              </w:rPr>
              <w:t xml:space="preserve">Nemokamas maitinimas VB; Mokinių verslumo ir finansinio raštingumo, projektų iniciatyvų skatinimas SB; Pedagogų rengimo, perkvalifikavimo, jaunųjų pedagogų pritraukimo, ir mokytojo profesijos prestižo </w:t>
            </w:r>
            <w:r>
              <w:rPr>
                <w:rFonts w:ascii="Arial" w:eastAsia="Times New Roman" w:hAnsi="Arial" w:cs="Arial"/>
                <w:sz w:val="24"/>
                <w:szCs w:val="24"/>
                <w:shd w:val="clear" w:color="auto" w:fill="FFFFFF"/>
                <w:lang w:eastAsia="lt-LT"/>
              </w:rPr>
              <w:lastRenderedPageBreak/>
              <w:t xml:space="preserve">didinimo dalinis finansavimas SB; Vaikų vasaros poilsio programos projekto finansavimas SB, Kiti šaltiniai; Finansavimas už projektą „Skaitmeninio ugdymo turinio kūrimas ir diegimas" VB, ES; </w:t>
            </w:r>
            <w:r>
              <w:rPr>
                <w:rFonts w:ascii="Arial" w:eastAsia="Times New Roman" w:hAnsi="Arial" w:cs="Arial"/>
                <w:sz w:val="24"/>
                <w:szCs w:val="24"/>
                <w:lang w:eastAsia="lt-LT"/>
              </w:rPr>
              <w:t>1,2 % GPM parama ir kt.)</w:t>
            </w:r>
          </w:p>
        </w:tc>
        <w:tc>
          <w:tcPr>
            <w:tcW w:w="1850" w:type="dxa"/>
            <w:tcBorders>
              <w:top w:val="single" w:sz="4" w:space="0" w:color="000000"/>
              <w:left w:val="single" w:sz="4" w:space="0" w:color="000000"/>
              <w:bottom w:val="single" w:sz="4" w:space="0" w:color="000000"/>
              <w:right w:val="single" w:sz="4" w:space="0" w:color="000000"/>
            </w:tcBorders>
          </w:tcPr>
          <w:p w14:paraId="69C0DBE6"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b/>
                <w:bCs/>
                <w:sz w:val="24"/>
                <w:szCs w:val="24"/>
              </w:rPr>
              <w:lastRenderedPageBreak/>
              <w:t>60094,46</w:t>
            </w:r>
          </w:p>
        </w:tc>
        <w:tc>
          <w:tcPr>
            <w:tcW w:w="1524" w:type="dxa"/>
            <w:tcBorders>
              <w:top w:val="single" w:sz="4" w:space="0" w:color="000000"/>
              <w:left w:val="single" w:sz="4" w:space="0" w:color="000000"/>
              <w:bottom w:val="single" w:sz="4" w:space="0" w:color="000000"/>
              <w:right w:val="single" w:sz="4" w:space="0" w:color="000000"/>
            </w:tcBorders>
          </w:tcPr>
          <w:p w14:paraId="26C0F0E1" w14:textId="77777777" w:rsidR="00E132C1" w:rsidRDefault="00253668">
            <w:pPr>
              <w:widowControl w:val="0"/>
              <w:shd w:val="clear" w:color="auto" w:fill="FFFFFF" w:themeFill="background1"/>
              <w:spacing w:after="0" w:line="240" w:lineRule="auto"/>
              <w:jc w:val="center"/>
              <w:rPr>
                <w:rFonts w:ascii="Arial" w:eastAsia="Times New Roman" w:hAnsi="Arial" w:cs="Arial"/>
                <w:sz w:val="24"/>
                <w:szCs w:val="24"/>
                <w:lang w:eastAsia="lt-LT"/>
              </w:rPr>
            </w:pPr>
            <w:r>
              <w:rPr>
                <w:rFonts w:ascii="Arial" w:hAnsi="Arial" w:cs="Arial"/>
                <w:b/>
                <w:bCs/>
                <w:sz w:val="24"/>
                <w:szCs w:val="24"/>
              </w:rPr>
              <w:t>60047,52</w:t>
            </w:r>
          </w:p>
        </w:tc>
        <w:tc>
          <w:tcPr>
            <w:tcW w:w="2721" w:type="dxa"/>
            <w:tcBorders>
              <w:top w:val="single" w:sz="4" w:space="0" w:color="000000"/>
              <w:left w:val="single" w:sz="4" w:space="0" w:color="000000"/>
              <w:bottom w:val="single" w:sz="4" w:space="0" w:color="000000"/>
              <w:right w:val="single" w:sz="4" w:space="0" w:color="000000"/>
            </w:tcBorders>
          </w:tcPr>
          <w:p w14:paraId="52E5B7E9" w14:textId="77777777" w:rsidR="00E132C1" w:rsidRDefault="00253668">
            <w:pPr>
              <w:widowControl w:val="0"/>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Įvykdyta – 99,9 proc.</w:t>
            </w:r>
          </w:p>
        </w:tc>
      </w:tr>
      <w:tr w:rsidR="00E132C1" w14:paraId="476D3955" w14:textId="77777777">
        <w:trPr>
          <w:trHeight w:val="416"/>
        </w:trPr>
        <w:tc>
          <w:tcPr>
            <w:tcW w:w="9633" w:type="dxa"/>
            <w:gridSpan w:val="4"/>
            <w:tcBorders>
              <w:top w:val="single" w:sz="4" w:space="0" w:color="000000"/>
              <w:left w:val="single" w:sz="4" w:space="0" w:color="000000"/>
              <w:bottom w:val="single" w:sz="4" w:space="0" w:color="000000"/>
              <w:right w:val="single" w:sz="4" w:space="0" w:color="000000"/>
            </w:tcBorders>
          </w:tcPr>
          <w:p w14:paraId="4C14722E" w14:textId="77777777" w:rsidR="00E132C1" w:rsidRDefault="00253668">
            <w:pPr>
              <w:widowControl w:val="0"/>
              <w:spacing w:after="0" w:line="240" w:lineRule="auto"/>
              <w:jc w:val="both"/>
              <w:rPr>
                <w:rFonts w:ascii="Arial" w:hAnsi="Arial" w:cs="Arial"/>
                <w:sz w:val="24"/>
                <w:szCs w:val="24"/>
              </w:rPr>
            </w:pPr>
            <w:r>
              <w:rPr>
                <w:rFonts w:ascii="Arial" w:hAnsi="Arial" w:cs="Arial"/>
                <w:sz w:val="24"/>
                <w:szCs w:val="24"/>
              </w:rPr>
              <w:t xml:space="preserve">Mokyklos kreditorinis įsiskolinimas 2025 m. gruodžio 31 d. sudarė 2628,64 Eur. Didžiausia įsiskolinimų dalis t.y. 2561,37 Eur maisto prekių tiekėjams. </w:t>
            </w:r>
          </w:p>
        </w:tc>
      </w:tr>
      <w:tr w:rsidR="00E132C1" w14:paraId="01492418" w14:textId="77777777">
        <w:tc>
          <w:tcPr>
            <w:tcW w:w="9633" w:type="dxa"/>
            <w:gridSpan w:val="4"/>
            <w:tcBorders>
              <w:top w:val="single" w:sz="4" w:space="0" w:color="000000"/>
              <w:left w:val="single" w:sz="4" w:space="0" w:color="000000"/>
              <w:bottom w:val="single" w:sz="4" w:space="0" w:color="000000"/>
              <w:right w:val="single" w:sz="4" w:space="0" w:color="000000"/>
            </w:tcBorders>
          </w:tcPr>
          <w:p w14:paraId="443D5DED" w14:textId="77777777" w:rsidR="00E132C1" w:rsidRDefault="00253668">
            <w:pPr>
              <w:pStyle w:val="prastasiniatinklio"/>
              <w:widowControl w:val="0"/>
              <w:spacing w:beforeAutospacing="0" w:after="0" w:afterAutospacing="0"/>
              <w:jc w:val="both"/>
              <w:rPr>
                <w:rFonts w:ascii="Arial" w:hAnsi="Arial" w:cs="Arial"/>
              </w:rPr>
            </w:pPr>
            <w:r>
              <w:rPr>
                <w:rFonts w:ascii="Arial" w:hAnsi="Arial" w:cs="Arial"/>
              </w:rPr>
              <w:t>Mokykla per 2025 metus įsigijo ilgalaikio materialiojo turto už 28029,02 Eur, iš jų: kompiuterinė įranga 21426,17 Eur ir kitas ilgalaikis turtas už 6602,85 Eur.</w:t>
            </w:r>
          </w:p>
        </w:tc>
      </w:tr>
    </w:tbl>
    <w:p w14:paraId="6DFA5BC5" w14:textId="77777777" w:rsidR="00E132C1" w:rsidRDefault="00E132C1">
      <w:pPr>
        <w:shd w:val="clear" w:color="auto" w:fill="FFFFFF" w:themeFill="background1"/>
        <w:spacing w:after="0" w:line="240" w:lineRule="auto"/>
        <w:ind w:firstLine="709"/>
        <w:jc w:val="both"/>
      </w:pPr>
    </w:p>
    <w:p w14:paraId="389F9778" w14:textId="77777777" w:rsidR="00E132C1" w:rsidRDefault="00253668">
      <w:pPr>
        <w:shd w:val="clear" w:color="auto" w:fill="FFFFFF" w:themeFill="background1"/>
        <w:spacing w:after="0" w:line="240" w:lineRule="auto"/>
        <w:ind w:firstLine="567"/>
        <w:jc w:val="both"/>
        <w:rPr>
          <w:rFonts w:ascii="Arial" w:eastAsia="Times New Roman" w:hAnsi="Arial" w:cs="Arial"/>
          <w:sz w:val="24"/>
          <w:szCs w:val="24"/>
          <w:lang w:eastAsia="lt-LT"/>
        </w:rPr>
      </w:pPr>
      <w:r>
        <w:rPr>
          <w:rFonts w:ascii="Arial" w:eastAsia="Times New Roman" w:hAnsi="Arial" w:cs="Arial"/>
          <w:sz w:val="24"/>
          <w:szCs w:val="24"/>
          <w:lang w:eastAsia="lt-LT"/>
        </w:rPr>
        <w:t>Išsami finansinė ir biudžeto vykdymo ataskaita pateikiama 2025 m. gruodžio 31 d. pasibaigusių metų finansinių ataskaitų rinkinyje ir Biudžeto išlaidų sąmatos vykdymo 2025 m. gruodžio 31 d. ataskaitose (pridedama).</w:t>
      </w:r>
    </w:p>
    <w:p w14:paraId="5D82A232" w14:textId="77777777" w:rsidR="00E132C1" w:rsidRDefault="00253668">
      <w:pPr>
        <w:tabs>
          <w:tab w:val="left" w:pos="1276"/>
        </w:tabs>
        <w:spacing w:after="0" w:line="240" w:lineRule="auto"/>
        <w:ind w:firstLine="567"/>
        <w:contextualSpacing/>
        <w:jc w:val="both"/>
        <w:rPr>
          <w:rFonts w:ascii="Arial" w:eastAsia="Times New Roman" w:hAnsi="Arial" w:cs="Arial"/>
          <w:sz w:val="24"/>
          <w:szCs w:val="24"/>
          <w:lang w:eastAsia="lt-LT"/>
        </w:rPr>
      </w:pPr>
      <w:r>
        <w:rPr>
          <w:rFonts w:ascii="Arial" w:eastAsia="Times New Roman" w:hAnsi="Arial" w:cs="Arial"/>
          <w:sz w:val="24"/>
          <w:szCs w:val="24"/>
          <w:lang w:eastAsia="lt-LT"/>
        </w:rPr>
        <w:t>Planuojant 2026 metų veiklą, Mokyklos bendruomenėje sutarta tęsti išsikeltų prioritetų įgyvendinimą: gerinti pamokos kokybę, stiprinti įtraukųjį ugdymą, didinti personalo motyvaciją bei užtikrinti mokinių emocinį, socialinį, intelektualinį ir dvasinį saugumą.</w:t>
      </w:r>
    </w:p>
    <w:p w14:paraId="77953C91" w14:textId="77777777" w:rsidR="00E132C1" w:rsidRDefault="00253668">
      <w:pPr>
        <w:tabs>
          <w:tab w:val="left" w:pos="567"/>
          <w:tab w:val="left" w:pos="1134"/>
        </w:tabs>
        <w:spacing w:after="0" w:line="240" w:lineRule="auto"/>
        <w:ind w:firstLine="567"/>
        <w:jc w:val="both"/>
        <w:rPr>
          <w:rFonts w:ascii="Arial" w:hAnsi="Arial" w:cs="Arial"/>
          <w:sz w:val="24"/>
          <w:szCs w:val="24"/>
        </w:rPr>
      </w:pPr>
      <w:r>
        <w:rPr>
          <w:rFonts w:ascii="Arial" w:hAnsi="Arial" w:cs="Arial"/>
          <w:sz w:val="24"/>
          <w:szCs w:val="24"/>
        </w:rPr>
        <w:t>PRIDEDAMA:</w:t>
      </w:r>
    </w:p>
    <w:p w14:paraId="33416FCD" w14:textId="77777777" w:rsidR="00E132C1" w:rsidRDefault="00253668">
      <w:pPr>
        <w:tabs>
          <w:tab w:val="left" w:pos="567"/>
          <w:tab w:val="left" w:pos="1134"/>
        </w:tabs>
        <w:spacing w:after="0" w:line="240" w:lineRule="auto"/>
        <w:ind w:firstLine="567"/>
        <w:jc w:val="both"/>
        <w:rPr>
          <w:rFonts w:ascii="Arial" w:hAnsi="Arial" w:cs="Arial"/>
          <w:sz w:val="24"/>
          <w:szCs w:val="24"/>
        </w:rPr>
      </w:pPr>
      <w:r>
        <w:rPr>
          <w:rFonts w:ascii="Arial" w:hAnsi="Arial" w:cs="Arial"/>
          <w:sz w:val="24"/>
          <w:szCs w:val="24"/>
        </w:rPr>
        <w:t>1. 2025 m. gruodžio 31 d. pasibaigusių metų Finansinių ataskaitų rinkinys su aiškinamuoju raštu, 50 lapų.</w:t>
      </w:r>
    </w:p>
    <w:p w14:paraId="706ADF51" w14:textId="77777777" w:rsidR="00E132C1" w:rsidRDefault="00253668">
      <w:pPr>
        <w:tabs>
          <w:tab w:val="left" w:pos="567"/>
          <w:tab w:val="left" w:pos="1134"/>
        </w:tabs>
        <w:spacing w:after="0" w:line="240" w:lineRule="auto"/>
        <w:ind w:firstLine="567"/>
        <w:jc w:val="both"/>
        <w:rPr>
          <w:rFonts w:ascii="Arial" w:hAnsi="Arial" w:cs="Arial"/>
          <w:sz w:val="24"/>
          <w:szCs w:val="24"/>
        </w:rPr>
      </w:pPr>
      <w:r>
        <w:rPr>
          <w:rFonts w:ascii="Arial" w:hAnsi="Arial" w:cs="Arial"/>
          <w:sz w:val="24"/>
          <w:szCs w:val="24"/>
        </w:rPr>
        <w:t>2. Biudžeto išlaidų sąmatos vykdymo 2025 metų ataskaita su aiškinamuoju raštu, 26 lapai.</w:t>
      </w:r>
    </w:p>
    <w:p w14:paraId="4F060A14" w14:textId="77777777" w:rsidR="00E132C1" w:rsidRDefault="00253668">
      <w:pPr>
        <w:tabs>
          <w:tab w:val="left" w:pos="567"/>
          <w:tab w:val="left" w:pos="1134"/>
        </w:tabs>
        <w:spacing w:after="0" w:line="240" w:lineRule="auto"/>
        <w:jc w:val="center"/>
        <w:rPr>
          <w:rFonts w:ascii="Arial" w:hAnsi="Arial" w:cs="Arial"/>
          <w:sz w:val="24"/>
          <w:szCs w:val="24"/>
        </w:rPr>
      </w:pPr>
      <w:r>
        <w:rPr>
          <w:rFonts w:ascii="Arial" w:hAnsi="Arial" w:cs="Arial"/>
          <w:sz w:val="24"/>
          <w:szCs w:val="24"/>
        </w:rPr>
        <w:t>______________________</w:t>
      </w:r>
    </w:p>
    <w:sectPr w:rsidR="00E132C1">
      <w:headerReference w:type="default" r:id="rId7"/>
      <w:pgSz w:w="11906" w:h="16838"/>
      <w:pgMar w:top="1134" w:right="567" w:bottom="1134" w:left="1701"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28EF" w14:textId="77777777" w:rsidR="00974C7C" w:rsidRDefault="00974C7C">
      <w:pPr>
        <w:spacing w:after="0" w:line="240" w:lineRule="auto"/>
      </w:pPr>
      <w:r>
        <w:separator/>
      </w:r>
    </w:p>
  </w:endnote>
  <w:endnote w:type="continuationSeparator" w:id="0">
    <w:p w14:paraId="125D004C" w14:textId="77777777" w:rsidR="00974C7C" w:rsidRDefault="00974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roman"/>
    <w:pitch w:val="variable"/>
  </w:font>
  <w:font w:name="Lucida Sans">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6E5AF" w14:textId="77777777" w:rsidR="00974C7C" w:rsidRDefault="00974C7C">
      <w:pPr>
        <w:spacing w:after="0" w:line="240" w:lineRule="auto"/>
      </w:pPr>
      <w:r>
        <w:separator/>
      </w:r>
    </w:p>
  </w:footnote>
  <w:footnote w:type="continuationSeparator" w:id="0">
    <w:p w14:paraId="03BCB7F6" w14:textId="77777777" w:rsidR="00974C7C" w:rsidRDefault="00974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386141"/>
      <w:docPartObj>
        <w:docPartGallery w:val="Page Numbers (Top of Page)"/>
        <w:docPartUnique/>
      </w:docPartObj>
    </w:sdtPr>
    <w:sdtEndPr/>
    <w:sdtContent>
      <w:p w14:paraId="1A50B7E4" w14:textId="77777777" w:rsidR="00E132C1" w:rsidRDefault="00253668">
        <w:pPr>
          <w:pStyle w:val="Antrats"/>
          <w:jc w:val="center"/>
        </w:pPr>
        <w:r>
          <w:fldChar w:fldCharType="begin"/>
        </w:r>
        <w:r>
          <w:instrText>PAGE</w:instrText>
        </w:r>
        <w:r>
          <w:fldChar w:fldCharType="separate"/>
        </w:r>
        <w:r>
          <w:t>3</w:t>
        </w:r>
        <w:r>
          <w:fldChar w:fldCharType="end"/>
        </w:r>
      </w:p>
    </w:sdtContent>
  </w:sdt>
  <w:p w14:paraId="25AB667E" w14:textId="77777777" w:rsidR="00E132C1" w:rsidRDefault="00E132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2C1"/>
    <w:rsid w:val="00253668"/>
    <w:rsid w:val="00314746"/>
    <w:rsid w:val="003C5ED3"/>
    <w:rsid w:val="00824310"/>
    <w:rsid w:val="00974C7C"/>
    <w:rsid w:val="00B614FC"/>
    <w:rsid w:val="00C6449F"/>
    <w:rsid w:val="00C9627D"/>
    <w:rsid w:val="00E132C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AAA53"/>
  <w15:docId w15:val="{E2CEE3CE-AFDD-476A-A4D2-C000DDD9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99"/>
    <w:qFormat/>
    <w:locked/>
    <w:rsid w:val="00EC14B3"/>
  </w:style>
  <w:style w:type="character" w:customStyle="1" w:styleId="AntratsDiagrama">
    <w:name w:val="Antraštės Diagrama"/>
    <w:basedOn w:val="Numatytasispastraiposriftas"/>
    <w:link w:val="Antrats"/>
    <w:uiPriority w:val="99"/>
    <w:qFormat/>
    <w:rsid w:val="00DA79CE"/>
  </w:style>
  <w:style w:type="character" w:customStyle="1" w:styleId="PoratDiagrama">
    <w:name w:val="Poraštė Diagrama"/>
    <w:basedOn w:val="Numatytasispastraiposriftas"/>
    <w:link w:val="Porat"/>
    <w:uiPriority w:val="99"/>
    <w:qFormat/>
    <w:rsid w:val="00DA79CE"/>
  </w:style>
  <w:style w:type="character" w:customStyle="1" w:styleId="Internetosaitas">
    <w:name w:val="Interneto saitas"/>
    <w:basedOn w:val="Numatytasispastraiposriftas"/>
    <w:uiPriority w:val="99"/>
    <w:unhideWhenUsed/>
    <w:rsid w:val="00EA3915"/>
    <w:rPr>
      <w:color w:val="0563C1" w:themeColor="hyperlink"/>
      <w:u w:val="single"/>
    </w:rPr>
  </w:style>
  <w:style w:type="character" w:styleId="Komentaronuoroda">
    <w:name w:val="annotation reference"/>
    <w:basedOn w:val="Numatytasispastraiposriftas"/>
    <w:uiPriority w:val="99"/>
    <w:semiHidden/>
    <w:unhideWhenUsed/>
    <w:qFormat/>
    <w:rsid w:val="00DA0ED6"/>
    <w:rPr>
      <w:sz w:val="16"/>
      <w:szCs w:val="16"/>
    </w:rPr>
  </w:style>
  <w:style w:type="character" w:customStyle="1" w:styleId="KomentarotekstasDiagrama">
    <w:name w:val="Komentaro tekstas Diagrama"/>
    <w:basedOn w:val="Numatytasispastraiposriftas"/>
    <w:link w:val="Komentarotekstas"/>
    <w:uiPriority w:val="99"/>
    <w:qFormat/>
    <w:rsid w:val="00DA0ED6"/>
    <w:rPr>
      <w:rFonts w:ascii="Times New Roman" w:eastAsia="Times New Roman" w:hAnsi="Times New Roman" w:cs="Times New Roman"/>
      <w:sz w:val="20"/>
      <w:szCs w:val="20"/>
      <w:lang w:eastAsia="lt-LT"/>
    </w:rPr>
  </w:style>
  <w:style w:type="character" w:customStyle="1" w:styleId="DebesliotekstasDiagrama">
    <w:name w:val="Debesėlio tekstas Diagrama"/>
    <w:basedOn w:val="Numatytasispastraiposriftas"/>
    <w:link w:val="Debesliotekstas"/>
    <w:uiPriority w:val="99"/>
    <w:semiHidden/>
    <w:qFormat/>
    <w:rsid w:val="00DA0ED6"/>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qFormat/>
    <w:rsid w:val="00DA0ED6"/>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63592A"/>
    <w:rPr>
      <w:b/>
      <w:bCs/>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99"/>
    <w:qFormat/>
    <w:rsid w:val="00EC14B3"/>
    <w:pPr>
      <w:ind w:left="720"/>
      <w:contextualSpacing/>
    </w:p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DA79CE"/>
    <w:pPr>
      <w:tabs>
        <w:tab w:val="center" w:pos="4819"/>
        <w:tab w:val="right" w:pos="9638"/>
      </w:tabs>
      <w:spacing w:after="0" w:line="240" w:lineRule="auto"/>
    </w:pPr>
  </w:style>
  <w:style w:type="paragraph" w:styleId="Porat">
    <w:name w:val="footer"/>
    <w:basedOn w:val="prastasis"/>
    <w:link w:val="PoratDiagrama"/>
    <w:uiPriority w:val="99"/>
    <w:unhideWhenUsed/>
    <w:rsid w:val="00DA79CE"/>
    <w:pPr>
      <w:tabs>
        <w:tab w:val="center" w:pos="4819"/>
        <w:tab w:val="right" w:pos="9638"/>
      </w:tabs>
      <w:spacing w:after="0" w:line="240" w:lineRule="auto"/>
    </w:pPr>
  </w:style>
  <w:style w:type="paragraph" w:styleId="Komentarotekstas">
    <w:name w:val="annotation text"/>
    <w:basedOn w:val="prastasis"/>
    <w:link w:val="KomentarotekstasDiagrama"/>
    <w:uiPriority w:val="99"/>
    <w:unhideWhenUsed/>
    <w:qFormat/>
    <w:rsid w:val="00DA0ED6"/>
    <w:pPr>
      <w:spacing w:after="0" w:line="240" w:lineRule="auto"/>
    </w:pPr>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qFormat/>
    <w:rsid w:val="00DA0ED6"/>
    <w:pPr>
      <w:spacing w:after="0" w:line="240" w:lineRule="auto"/>
    </w:pPr>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DA0ED6"/>
    <w:pPr>
      <w:spacing w:after="160"/>
    </w:pPr>
    <w:rPr>
      <w:rFonts w:asciiTheme="minorHAnsi" w:eastAsiaTheme="minorHAnsi" w:hAnsiTheme="minorHAnsi" w:cstheme="minorBidi"/>
      <w:b/>
      <w:bCs/>
      <w:lang w:eastAsia="en-US"/>
    </w:rPr>
  </w:style>
  <w:style w:type="paragraph" w:styleId="prastasiniatinklio">
    <w:name w:val="Normal (Web)"/>
    <w:basedOn w:val="prastasis"/>
    <w:uiPriority w:val="99"/>
    <w:unhideWhenUsed/>
    <w:qFormat/>
    <w:rsid w:val="00C4556C"/>
    <w:pPr>
      <w:spacing w:beforeAutospacing="1"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D5FBC-2316-4984-AD89-1EDFA1A1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3</Pages>
  <Words>5321</Words>
  <Characters>3033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dc:description/>
  <cp:lastModifiedBy>Vilma Gudzevičienė</cp:lastModifiedBy>
  <cp:revision>18</cp:revision>
  <cp:lastPrinted>2026-03-12T13:11:00Z</cp:lastPrinted>
  <dcterms:created xsi:type="dcterms:W3CDTF">2025-03-10T08:44:00Z</dcterms:created>
  <dcterms:modified xsi:type="dcterms:W3CDTF">2026-03-17T08:08:00Z</dcterms:modified>
  <dc:language>lt-LT</dc:language>
</cp:coreProperties>
</file>